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5A03" w14:textId="0AFF35B6" w:rsidR="00675180" w:rsidRPr="00E434F0" w:rsidRDefault="00675180" w:rsidP="006751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434F0">
        <w:rPr>
          <w:rFonts w:ascii="Times New Roman" w:eastAsia="Times New Roman" w:hAnsi="Times New Roman" w:cs="Times New Roman"/>
          <w:lang w:eastAsia="pl-PL"/>
        </w:rPr>
        <w:t>Załącznik B.50.</w:t>
      </w:r>
    </w:p>
    <w:p w14:paraId="47DE1E2C" w14:textId="77777777" w:rsidR="00675180" w:rsidRPr="00E434F0" w:rsidRDefault="00675180" w:rsidP="006751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386C35" w14:textId="77777777" w:rsidR="00675180" w:rsidRPr="00E434F0" w:rsidRDefault="00675180" w:rsidP="0067518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434F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CHORYCH NA RAKA JAJNIKA, RAKA JAJOWODU LUB RAKA OTRZEWNEJ (ICD-10: C56, C57, 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675180" w:rsidRPr="00E434F0" w14:paraId="5225CACD" w14:textId="77777777" w:rsidTr="001230E5">
        <w:trPr>
          <w:trHeight w:val="567"/>
        </w:trPr>
        <w:tc>
          <w:tcPr>
            <w:tcW w:w="5000" w:type="pct"/>
            <w:gridSpan w:val="3"/>
            <w:vAlign w:val="center"/>
          </w:tcPr>
          <w:p w14:paraId="229BE826" w14:textId="77777777" w:rsidR="00675180" w:rsidRPr="00E434F0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 ŚWIADCZENIA GWARANTOWANEGO</w:t>
            </w:r>
          </w:p>
        </w:tc>
      </w:tr>
      <w:tr w:rsidR="00675180" w:rsidRPr="00E434F0" w14:paraId="1A5A35DE" w14:textId="77777777" w:rsidTr="008171AF">
        <w:trPr>
          <w:trHeight w:val="567"/>
        </w:trPr>
        <w:tc>
          <w:tcPr>
            <w:tcW w:w="2209" w:type="pct"/>
            <w:vAlign w:val="center"/>
          </w:tcPr>
          <w:p w14:paraId="0EE201E1" w14:textId="77777777" w:rsidR="00675180" w:rsidRPr="00E434F0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vAlign w:val="center"/>
          </w:tcPr>
          <w:p w14:paraId="0F6EBB54" w14:textId="77777777" w:rsidR="00675180" w:rsidRPr="00E434F0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SCHEMAT DAWKOWANIA LEKÓW </w:t>
            </w:r>
            <w:r w:rsidRPr="00E434F0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  <w:t>W PROGRAMIE</w:t>
            </w:r>
          </w:p>
        </w:tc>
        <w:tc>
          <w:tcPr>
            <w:tcW w:w="1395" w:type="pct"/>
            <w:vAlign w:val="center"/>
          </w:tcPr>
          <w:p w14:paraId="26154DE6" w14:textId="77777777" w:rsidR="00675180" w:rsidRPr="00E434F0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 DIAGNOSTYCZNE WYKONYWANE W RAMACH PROGRAMU</w:t>
            </w:r>
          </w:p>
        </w:tc>
      </w:tr>
      <w:tr w:rsidR="00675180" w:rsidRPr="00572AC2" w14:paraId="5999F930" w14:textId="77777777" w:rsidTr="008171AF">
        <w:tc>
          <w:tcPr>
            <w:tcW w:w="2209" w:type="pct"/>
          </w:tcPr>
          <w:p w14:paraId="11D139CD" w14:textId="61BF4069" w:rsidR="00675180" w:rsidRPr="00E434F0" w:rsidRDefault="002C6EE3" w:rsidP="001230E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 programie finansuje się tylko jedną linię leczenia podtrzymującego inhibitor</w:t>
            </w:r>
            <w:r w:rsidR="00430D56"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em</w:t>
            </w: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PARP niskozróżnicowanego raka jajnika, raka jajowodu lub pierwotnego raka otrzewnej substancjami:</w:t>
            </w:r>
          </w:p>
          <w:p w14:paraId="22A33123" w14:textId="77777777" w:rsidR="00675180" w:rsidRPr="00E434F0" w:rsidRDefault="00675180" w:rsidP="00E76AF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olaparyb;</w:t>
            </w:r>
          </w:p>
          <w:p w14:paraId="69A0C003" w14:textId="77777777" w:rsidR="00675180" w:rsidRPr="00E434F0" w:rsidRDefault="00675180" w:rsidP="00E76AF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niraparyb;</w:t>
            </w:r>
          </w:p>
          <w:p w14:paraId="56F32B0D" w14:textId="13AE0DDE" w:rsidR="00675180" w:rsidRPr="00E434F0" w:rsidRDefault="00675180" w:rsidP="00E76AF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rukaparyb</w:t>
            </w:r>
            <w:r w:rsidR="00E173EE"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4FC3C749" w14:textId="7F769246" w:rsidR="009D007F" w:rsidRPr="00E434F0" w:rsidRDefault="009D007F" w:rsidP="00634D8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oraz jedną linię leczenia (od II do IV linii) opornego na platynę, surowiczego, o wysokim stopniu złośliwości nabłonkowego raka jajnika, raka jajowodu lub pierwotnego raka otrzewnej substancją:</w:t>
            </w:r>
          </w:p>
          <w:p w14:paraId="74DE5E65" w14:textId="358818E1" w:rsidR="00E173EE" w:rsidRPr="00B13132" w:rsidRDefault="00E173EE" w:rsidP="00E76AFE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mirwetuksymab sorawtanzyna.</w:t>
            </w:r>
          </w:p>
          <w:p w14:paraId="210F1CD1" w14:textId="77777777" w:rsidR="0086376B" w:rsidRPr="00B13132" w:rsidRDefault="0086376B" w:rsidP="0086376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</w:p>
          <w:p w14:paraId="49C76425" w14:textId="77777777" w:rsidR="00675180" w:rsidRPr="00E434F0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 nowo zdiagnozowanego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zaawansowanego raka jajnika, raka jajowodu lub pierwotnego raka otrzewnej stosuje się:</w:t>
            </w:r>
          </w:p>
          <w:p w14:paraId="0159B1CB" w14:textId="77777777" w:rsidR="00675180" w:rsidRPr="00E434F0" w:rsidRDefault="00675180" w:rsidP="00E76AFE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w monoterapii: </w:t>
            </w:r>
          </w:p>
          <w:p w14:paraId="69065DC2" w14:textId="77777777" w:rsidR="00675180" w:rsidRPr="00E434F0" w:rsidRDefault="00675180" w:rsidP="00E76AFE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 pacjentek z obecnością mutacji w genach BRCA1/2,</w:t>
            </w:r>
          </w:p>
          <w:p w14:paraId="3447D157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albo </w:t>
            </w:r>
          </w:p>
          <w:p w14:paraId="4236D132" w14:textId="77777777" w:rsidR="00675180" w:rsidRPr="00E434F0" w:rsidRDefault="00675180" w:rsidP="00E76AFE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 lub rukaparyb u pacjentek z obecnością mutacji w genach BRCA1/2 lub z brakiem obecności mutacji w genach BRCA1/2, u pacjentek z potwierdzonym niedoborem homologicznej rekombinacji (HRD) lub z brakiem potwierdzenia niedoboru homologicznej rekombinacji (HRD);</w:t>
            </w:r>
          </w:p>
          <w:p w14:paraId="4C0435CB" w14:textId="77777777" w:rsidR="00675180" w:rsidRPr="00E434F0" w:rsidRDefault="00675180" w:rsidP="00E76AFE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lastRenderedPageBreak/>
              <w:t xml:space="preserve">w skojarzeniu: </w:t>
            </w:r>
          </w:p>
          <w:p w14:paraId="58908349" w14:textId="77777777" w:rsidR="00675180" w:rsidRPr="00E434F0" w:rsidRDefault="00675180" w:rsidP="00E76AFE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 z bewacyzumabem u pacjentek</w:t>
            </w: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z obecnością mutacji w genach BRCA1/2 lub potwierdzonym niedoborem homologicznej rekombinacji (HRD);</w:t>
            </w:r>
          </w:p>
          <w:p w14:paraId="3B097FDB" w14:textId="77777777" w:rsidR="00675180" w:rsidRPr="00E434F0" w:rsidRDefault="00675180" w:rsidP="006512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nawrotowego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 </w:t>
            </w:r>
            <w:r w:rsidRPr="00E434F0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o niskim stopniu zróżnicowania (G2 lub G3), 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raka jajowodu lub pierwotnego raka otrzewnej stosuje się:</w:t>
            </w:r>
          </w:p>
          <w:p w14:paraId="767AC375" w14:textId="77777777" w:rsidR="00675180" w:rsidRPr="00E434F0" w:rsidRDefault="00675180" w:rsidP="00E76AF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monoterapii:</w:t>
            </w:r>
          </w:p>
          <w:p w14:paraId="1E9384ED" w14:textId="62ECF620" w:rsidR="00675180" w:rsidRPr="00E434F0" w:rsidRDefault="00675180" w:rsidP="00E76AFE">
            <w:pPr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olaparyb u pacjentek z </w:t>
            </w: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obecnością </w:t>
            </w: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mutacji w genach BRCA 1/2 lub z brakiem obecności mutacji w genach BRCA1/2, </w:t>
            </w: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po wcześniejszym zastosowaniu przynajmniej dwóch linii chemioterapii z udziałem pochodnych platyny (nawrót choroby w okresie nie wcześniej niż 6 miesięcy od zakończenia leczenia pochodnymi platyny).</w:t>
            </w:r>
          </w:p>
          <w:p w14:paraId="6557611D" w14:textId="1C9594F8" w:rsidR="006158FE" w:rsidRPr="00B13132" w:rsidRDefault="006158FE" w:rsidP="006158F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leczeniu opornego na platynę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, surowiczego, o wysokim stopniu złośliwości nabłonkowego raka jajnika, jajowodu lub pierwotnego raka otrzewnej stosuje się:</w:t>
            </w:r>
          </w:p>
          <w:p w14:paraId="317AD06A" w14:textId="24714ADD" w:rsidR="006158FE" w:rsidRPr="00B13132" w:rsidRDefault="006158FE" w:rsidP="00E76AFE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monoterapii:</w:t>
            </w:r>
          </w:p>
          <w:p w14:paraId="6A10E014" w14:textId="71135721" w:rsidR="006158FE" w:rsidRPr="00B13132" w:rsidRDefault="006158FE" w:rsidP="00E76AFE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mirwetuksymab sorawtanzyna</w:t>
            </w:r>
            <w:r w:rsidR="000C4483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 pacjentek z dodatnim receptorem folianowym alfa (FRα), które otrzymały wcześniej od jednego do trzech schematów leczenia systemowego (w tym co najmniej jedna linia chemioterapii z udziałem pochodnych platyny).</w:t>
            </w:r>
          </w:p>
          <w:p w14:paraId="681A5CCA" w14:textId="77777777" w:rsidR="006158FE" w:rsidRPr="00E434F0" w:rsidRDefault="006158FE" w:rsidP="006512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A7061A" w14:textId="2B08FA4B" w:rsidR="00675180" w:rsidRPr="00E434F0" w:rsidRDefault="00634D88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programie istnieje jednorazowa możliwość leczenia inhibitorem PARP 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i jednorazowa możliwość leczenia mirwetuksymabem sorawtanzyny.</w:t>
            </w:r>
          </w:p>
          <w:p w14:paraId="48F6BC0C" w14:textId="77777777" w:rsidR="00634D88" w:rsidRPr="00E434F0" w:rsidRDefault="00634D88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FE033B" w14:textId="77777777" w:rsidR="001604B3" w:rsidRPr="00B13132" w:rsidRDefault="001604B3" w:rsidP="00E76AFE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313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14:paraId="12CEB83E" w14:textId="77777777" w:rsidR="001604B3" w:rsidRPr="00E434F0" w:rsidRDefault="001604B3" w:rsidP="001604B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Muszą zostać spełnione łącznie kryteria ogólne (1.1.) oraz kryteria szczegółowe (1.2.) dla poszczególnych substancji czynnych.</w:t>
            </w:r>
          </w:p>
          <w:p w14:paraId="547C6DA5" w14:textId="77777777" w:rsidR="001604B3" w:rsidRPr="00E434F0" w:rsidRDefault="001604B3" w:rsidP="001604B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2A347" w14:textId="77777777" w:rsidR="001604B3" w:rsidRPr="00B13132" w:rsidRDefault="001604B3" w:rsidP="00E76AFE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439D2DF6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7FF913B9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 wydolność narządowa określona na podstawie wyników badań laboratoryjnych krwi zgodnie z zapisami aktualnej Charakterystyki Produktu Leczniczego (ChPL);</w:t>
            </w:r>
          </w:p>
          <w:p w14:paraId="1176ACDA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zapisami aktualnej ChPL;</w:t>
            </w:r>
          </w:p>
          <w:p w14:paraId="10D1D86D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nieobecność istotnych schorzeń współistniejących lub stanów klinicznych stanowiących przeciwskazanie do terapii stwierdzone przez lekarza prowadzącego w oparciu o aktualną ChPL;</w:t>
            </w:r>
          </w:p>
          <w:p w14:paraId="5D688E09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0F1DD134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zgoda pacjentki na prowadzenie antykoncepcji zgodnie z aktualną ChPL;</w:t>
            </w:r>
          </w:p>
          <w:p w14:paraId="05EF7AE1" w14:textId="77777777" w:rsidR="001604B3" w:rsidRPr="00B13132" w:rsidRDefault="001604B3" w:rsidP="00E76AFE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 i okresu karmienia piersią.</w:t>
            </w:r>
          </w:p>
          <w:p w14:paraId="1F7ED2C8" w14:textId="77777777" w:rsidR="001604B3" w:rsidRPr="00E434F0" w:rsidRDefault="001604B3" w:rsidP="001604B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7684D" w14:textId="574372F3" w:rsidR="001604B3" w:rsidRPr="00B13132" w:rsidRDefault="00E116BE" w:rsidP="00E76AFE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31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Szczegółowe kryteria kwalifikacji</w:t>
            </w:r>
          </w:p>
          <w:p w14:paraId="21A1C919" w14:textId="626D119A" w:rsidR="00675180" w:rsidRPr="00E434F0" w:rsidRDefault="00675180" w:rsidP="00E76AFE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4F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nowo zdiagnozowanego raka jajnika, raka jajowodu lub pierwotnego raka otrzewnej</w:t>
            </w:r>
          </w:p>
          <w:p w14:paraId="56AC79A8" w14:textId="77777777" w:rsidR="00675180" w:rsidRPr="00E434F0" w:rsidRDefault="00675180" w:rsidP="00E76AFE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histologiczne rozpoznanie zaawansowanego (w stopniu III- IV wg FIGO) raka jajnika o niskim stopniu zróżnicowania (ang. high grade, G2 lub G3) raka jajowodu lub pierwotnego raka otrzewnej:</w:t>
            </w:r>
          </w:p>
          <w:p w14:paraId="31C3F700" w14:textId="77777777" w:rsidR="00675180" w:rsidRPr="00E434F0" w:rsidRDefault="00675180" w:rsidP="00E76AFE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przypadku leczenia olaparybem albo niraparybem albo rukaparybem w monoterapii</w:t>
            </w: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stopień zaawansowania choroby (FIGO) - spełnienie jednego z poniższych kryteriów:</w:t>
            </w:r>
          </w:p>
          <w:p w14:paraId="45E79417" w14:textId="77777777" w:rsidR="00675180" w:rsidRPr="00E434F0" w:rsidRDefault="00675180" w:rsidP="00E76AFE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z mutacją patogenną lub prawdopodobnie patogenną w genach </w:t>
            </w:r>
            <w:r w:rsidRPr="00E434F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bez względu na chorobę resztkową i/lub zabieg cytoredukcji (w przypadku olaparybu albo niraparybu albo rukaparybu),</w:t>
            </w:r>
          </w:p>
          <w:p w14:paraId="60290F12" w14:textId="77777777" w:rsidR="00675180" w:rsidRPr="00E434F0" w:rsidRDefault="00675180" w:rsidP="007C39B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23401C7" w14:textId="77777777" w:rsidR="00675180" w:rsidRPr="00E434F0" w:rsidRDefault="00675180" w:rsidP="00E76AFE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FIGO III u chorych po pierwotnym zabiegu cytoredukcyjnym (w przypadku niraparybu albo rukaparybu),</w:t>
            </w:r>
          </w:p>
          <w:p w14:paraId="4034F9C6" w14:textId="77777777" w:rsidR="00675180" w:rsidRPr="00E434F0" w:rsidRDefault="00675180" w:rsidP="007C39B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B5EE989" w14:textId="77777777" w:rsidR="00675180" w:rsidRPr="00E434F0" w:rsidRDefault="00675180" w:rsidP="00E76AFE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FIGO III lub IV po zastosowaniu chemioterapii neoadjuwantowej u chorych z mutacją patogenną lub prawdopodobnie patogenną w genach </w:t>
            </w:r>
            <w:r w:rsidRPr="00E434F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 1/2</w:t>
            </w: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4F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w przypadku olaparybu albo niraparybu albo rukaparybu) albo bez mutacji (w przypadku niraparybu albo rukaparybu),</w:t>
            </w:r>
          </w:p>
          <w:p w14:paraId="133206FC" w14:textId="77777777" w:rsidR="00675180" w:rsidRPr="00E434F0" w:rsidRDefault="00675180" w:rsidP="007C39B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42BFB4" w14:textId="77777777" w:rsidR="00675180" w:rsidRPr="00E434F0" w:rsidRDefault="00675180" w:rsidP="00E76AFE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FIGO IV (w przypadku olaparybu albo niraparybu albo rukaparybu);</w:t>
            </w:r>
          </w:p>
          <w:p w14:paraId="78C0FACF" w14:textId="77777777" w:rsidR="00675180" w:rsidRPr="00E434F0" w:rsidRDefault="00675180" w:rsidP="007C39B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E62CDAA" w14:textId="4055CEAC" w:rsidR="00675180" w:rsidRPr="00E434F0" w:rsidRDefault="00675180" w:rsidP="00E76AF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przypadku leczenia olaparybem w skojarzeniu z bewacyzumabem</w:t>
            </w: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histologiczne rozpoznanie zaawansowanego (w stopniu III- IV wg FIGO) raka jajnika o niskim stopniu zróżnicowania (ang. high grade, G2 lub G3) raka jajowodu lub pierwotnego raka otrzewnej bez względu na chorobę resztkową lub zabieg cytoredukcji;</w:t>
            </w:r>
          </w:p>
          <w:p w14:paraId="4F78B884" w14:textId="77777777" w:rsidR="00675180" w:rsidRPr="00E434F0" w:rsidRDefault="00675180" w:rsidP="00E76AF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zidentyfikowana patogenna lub prawdopodobnie patogenna mutacja w genach BRCA1/2 (dziedziczna lub somatyczna) w przypadku leczenia olaparybem w monoterapii albo w skojarzeniu z bewacyzumabem lub zidentyfikowane zaburzenia rekombinacji homologicznej (z ang. homologous recombination deficiency, HRD) w przypadku leczenia olaparybem w skojarzeniu z bewacyzumabem;</w:t>
            </w:r>
          </w:p>
          <w:p w14:paraId="0CEBCC63" w14:textId="77777777" w:rsidR="00E116BE" w:rsidRPr="00E434F0" w:rsidRDefault="00675180" w:rsidP="00E76AF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 sprawności ogólnej w stopniach 0-1 według klasyfikacji ECOG; </w:t>
            </w:r>
          </w:p>
          <w:p w14:paraId="507D77E2" w14:textId="6103DB42" w:rsidR="00E116BE" w:rsidRDefault="00675180" w:rsidP="00B13132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całkowita lub częściowa wg aktualnie obowiązujących kryteriów RECIST odpowiedź na chemioterapię pierwszego rzutu opartą o leczenie zawierające pochodne platyny; </w:t>
            </w:r>
          </w:p>
          <w:p w14:paraId="7FFC7408" w14:textId="77777777" w:rsidR="00BB2A40" w:rsidRPr="00BB2A40" w:rsidRDefault="00BB2A40" w:rsidP="00BB2A40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4317" w14:textId="0D491D09" w:rsidR="00675180" w:rsidRPr="00BB2A40" w:rsidRDefault="00675180" w:rsidP="00BB2A40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BB2A4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nawrotowego raka jajnika, raka jajowodu lub pierwotnego raka otrzewnej</w:t>
            </w:r>
          </w:p>
          <w:p w14:paraId="66C9CF40" w14:textId="77777777" w:rsidR="00675180" w:rsidRPr="00E434F0" w:rsidRDefault="00675180" w:rsidP="00E76AF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bookmarkStart w:id="0" w:name="_Hlk115096912"/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histologiczne rozpoznanie raka jajnika o niskim stopniu zróżnicowania (ang. high grade, G2 lub G3), raka jajowodu lub pierwotnego raka otrzewnej;</w:t>
            </w:r>
          </w:p>
          <w:p w14:paraId="6720BADD" w14:textId="77777777" w:rsidR="00675180" w:rsidRPr="00E434F0" w:rsidRDefault="00675180" w:rsidP="00E76AF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platynowrażliwy nawrotowy rak jajnika (nawrót choroby w okresie nie wcześniej niż 6 miesięcy od zakończenia leczenia pochodnymi platyny); </w:t>
            </w:r>
          </w:p>
          <w:p w14:paraId="6DADB0B6" w14:textId="77777777" w:rsidR="00675180" w:rsidRPr="00E434F0" w:rsidRDefault="00675180" w:rsidP="00E76AF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wcześniejsze zastosowanie przynajmniej dwóch linii chemioterapii z udziałem pochodnych platyny;</w:t>
            </w:r>
          </w:p>
          <w:p w14:paraId="3B611CB2" w14:textId="77777777" w:rsidR="00675180" w:rsidRPr="00E434F0" w:rsidRDefault="00675180" w:rsidP="00E76AF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0-2 według klasyfikacji ECOG;</w:t>
            </w:r>
          </w:p>
          <w:p w14:paraId="1796A5C5" w14:textId="77777777" w:rsidR="00675180" w:rsidRPr="00E434F0" w:rsidRDefault="00675180" w:rsidP="00E76AF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całkowita lub częściowa wg aktualnie obowiązujących kryteriów RECIST odpowiedź na leczenie po ostatnim schemacie leczenia zawierającym pochodne platyny;</w:t>
            </w:r>
          </w:p>
          <w:bookmarkEnd w:id="0"/>
          <w:p w14:paraId="7FB505BF" w14:textId="77777777" w:rsidR="00A91C1B" w:rsidRPr="00E434F0" w:rsidRDefault="00A91C1B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DF62E3" w14:textId="48EB9ED0" w:rsidR="00A91C1B" w:rsidRPr="00BB2A40" w:rsidRDefault="00A91C1B" w:rsidP="00BB2A40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BB2A40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opornego na platynę raka jajnika, jajowodu lub pierwotnego raka otrzewnej</w:t>
            </w:r>
          </w:p>
          <w:p w14:paraId="3925E4D5" w14:textId="77777777" w:rsidR="00A91C1B" w:rsidRPr="00B13132" w:rsidRDefault="00A91C1B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histologiczne rozpoznanie surowiczego niskozróżnicowananego o wysokim stopniu złośliwości nabłonkowego rak jajnika, raka  jajowodu lub pierwotnego raka otrzewnej;</w:t>
            </w:r>
          </w:p>
          <w:p w14:paraId="7DC88715" w14:textId="77777777" w:rsidR="00A91C1B" w:rsidRPr="00B13132" w:rsidRDefault="00A91C1B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platynoporność zdefiniowana jako nawrót choroby w okresie ≤6 miesięcy od daty podania ostatniej dawki platyny z wyjątkiem pacjentów, u których progresja po podaniu pierwszej linii chemioterapii opartej o związki platyny wystąpiła w czasie ≤3 miesięcy;</w:t>
            </w:r>
          </w:p>
          <w:p w14:paraId="10F32A51" w14:textId="77777777" w:rsidR="00A91C1B" w:rsidRPr="00B13132" w:rsidRDefault="00A91C1B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wcześniejsze zastosowanie co najmniej 1, ale nie więcej niż 3 linii leczenia systemowego (w tym co najmniej jedna linia chemioterapii z udziałem pochodnych platyny);</w:t>
            </w:r>
          </w:p>
          <w:p w14:paraId="5BAB184D" w14:textId="389FF788" w:rsidR="00A91C1B" w:rsidRPr="00B13132" w:rsidRDefault="00A91C1B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odsetek komórek nowotworowych z ekspresją FRα zdefiniowany jako ≥75% żywych komórek nowotworowych przy umiarkowanym (2+) i (lub) silnym (3+) zabarwieniu błony w badaniu IHC potwierdzony z wykorzystaniem zwalidowanego te</w:t>
            </w:r>
            <w:r w:rsidRPr="00B13132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stu</w:t>
            </w:r>
            <w:r w:rsidR="007230B4" w:rsidRPr="00B13132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;</w:t>
            </w:r>
          </w:p>
          <w:p w14:paraId="4DD028A0" w14:textId="77777777" w:rsidR="00A91C1B" w:rsidRPr="00B13132" w:rsidRDefault="00A91C1B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możliwa ocena odpowiedzi na leczenie zmian nowotworowych według aktualnej klasyfikacji RECIST; </w:t>
            </w:r>
          </w:p>
          <w:p w14:paraId="45B3561F" w14:textId="77777777" w:rsidR="00A91C1B" w:rsidRPr="00B13132" w:rsidRDefault="00A91C1B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0-1 według klasyfikacji ECOG;</w:t>
            </w:r>
          </w:p>
          <w:p w14:paraId="5EEC445B" w14:textId="77777777" w:rsidR="00675180" w:rsidRPr="00E434F0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07425C" w14:textId="77777777" w:rsidR="00675180" w:rsidRPr="00E434F0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16897B19" w14:textId="77777777" w:rsidR="00675180" w:rsidRPr="00E434F0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41FFC" w14:textId="77777777" w:rsidR="00675180" w:rsidRPr="00E434F0" w:rsidRDefault="00675180" w:rsidP="00BB2A4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578BDF56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leczenie chorych olaparybem w monoterapii albo w skojarzeniu z bewacyzumabem na nowo zdiagnozowanego raka jajnika, raka jajowodu lub pierwotnego raka otrzewnej:</w:t>
            </w:r>
          </w:p>
          <w:p w14:paraId="2C03C973" w14:textId="77777777" w:rsidR="00675180" w:rsidRPr="00E434F0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całkowitej odpowiedzi na leczenie (CR wg aktualnych kryteriów RECIST) – 24 miesiące,</w:t>
            </w:r>
          </w:p>
          <w:p w14:paraId="28540723" w14:textId="77777777" w:rsidR="00675180" w:rsidRPr="00E434F0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częściowej odpowiedzi na leczenie (PR wg aktualnych kryteriów RECIST– pacjenci z częściową odpowiedzią po 2 latach, którzy w opinii lekarza prowadzącego mogą odnieść korzyści z dalszego leczenia mogą kontynuować je powyżej 2 lat,</w:t>
            </w:r>
          </w:p>
          <w:p w14:paraId="3AA292B2" w14:textId="77777777" w:rsidR="00675180" w:rsidRPr="00E434F0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aktualnymi kryteriami RECIST, </w:t>
            </w:r>
          </w:p>
          <w:p w14:paraId="09E28D5C" w14:textId="77777777" w:rsidR="00675180" w:rsidRPr="00E434F0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</w:t>
            </w: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niemożliwej do zaakceptowania toksyczności;</w:t>
            </w:r>
          </w:p>
          <w:p w14:paraId="5355BBF7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niraparybem na nowo zdiagnozowanego rak jajnika, rak jajowodu lub pierwotnego raka otrzewnej:</w:t>
            </w:r>
          </w:p>
          <w:p w14:paraId="1B18DFC1" w14:textId="7777777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 miesięcy,</w:t>
            </w:r>
          </w:p>
          <w:p w14:paraId="244CAD9B" w14:textId="7777777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aktualnymi kryteriami RECIST, </w:t>
            </w:r>
          </w:p>
          <w:p w14:paraId="2CACD985" w14:textId="7777777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toksyczności;</w:t>
            </w:r>
          </w:p>
          <w:p w14:paraId="77CD0387" w14:textId="77777777" w:rsidR="00E116BE" w:rsidRPr="00E434F0" w:rsidRDefault="00E116BE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rukaparybem na nowo zdiagnozowanego rak jajnika, rak jajowodu lub pierwotnego raka otrzewnej:</w:t>
            </w:r>
          </w:p>
          <w:p w14:paraId="0F0D54CC" w14:textId="77777777" w:rsidR="00E116BE" w:rsidRPr="00E434F0" w:rsidRDefault="00E116BE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 miesiące,</w:t>
            </w:r>
          </w:p>
          <w:p w14:paraId="0D7AC83D" w14:textId="77777777" w:rsidR="00E116BE" w:rsidRPr="00E434F0" w:rsidRDefault="00E116BE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do czasu wystąpienia progresji choroby podstawowej zgodnie z aktualnymi kryteriami RECIST, </w:t>
            </w:r>
          </w:p>
          <w:p w14:paraId="27778B7A" w14:textId="4B653475" w:rsidR="00E116BE" w:rsidRPr="00E434F0" w:rsidRDefault="00E116BE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toksyczności.</w:t>
            </w:r>
          </w:p>
          <w:p w14:paraId="7E217E5B" w14:textId="0D98516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olaparybem na nawrotowego raka jajnika, raka jajowodu lub pierwotnego raka otrzewnej:</w:t>
            </w:r>
          </w:p>
          <w:p w14:paraId="65F96E5B" w14:textId="7777777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aktualnymi kryteriami RECIST,</w:t>
            </w:r>
          </w:p>
          <w:p w14:paraId="2D0B784B" w14:textId="2FB4356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toksyczności,</w:t>
            </w:r>
          </w:p>
          <w:p w14:paraId="61B63DBB" w14:textId="503424A8" w:rsidR="00F42DA8" w:rsidRPr="00B13132" w:rsidRDefault="00F42DA8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mirwetuksymabem sorawtanzyn</w:t>
            </w:r>
            <w:r w:rsidR="00180604" w:rsidRPr="00B1313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ą</w:t>
            </w:r>
            <w:r w:rsidRPr="00B1313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opornego na platynę raka jajnika, jajowodu lub pierwotnego raka otrzewnej trwa do czasu podjęcia przez lekarza prowadzącego decyzji o wyłączeniu świadczeniobiorcy z programu zgodnie z kryteriami wyłączenia.</w:t>
            </w:r>
          </w:p>
          <w:p w14:paraId="546D0D32" w14:textId="77777777" w:rsidR="00675180" w:rsidRPr="00E434F0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A02BD3" w14:textId="77777777" w:rsidR="00675180" w:rsidRPr="00E434F0" w:rsidRDefault="00675180" w:rsidP="00BB2A4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34F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79BE36BC" w14:textId="5A3973E2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objawów nadwrażliwości </w:t>
            </w:r>
            <w:r w:rsidRPr="00E434F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 lek (olaparyb albo niraparyb albo rukaparyb</w:t>
            </w:r>
            <w:r w:rsidR="00F42DA8" w:rsidRPr="00E434F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42DA8" w:rsidRPr="00B1313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albo mirwetuksymab sorawtanzyna</w:t>
            </w:r>
            <w:r w:rsidRPr="00E434F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lub na którąkolwiek substancję pomocniczą;</w:t>
            </w:r>
          </w:p>
          <w:p w14:paraId="1146B885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progresja choroby nowotworowej oceniona zgodnie z aktualnie obowiązującymi kryteriami RECIST;</w:t>
            </w:r>
          </w:p>
          <w:p w14:paraId="61218149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wystąpienie toksyczności wymagającej zakończenia leczenia w opinii lekarza prowadzącego lub zgodnie z aktualnie obowiązującą ChPL;</w:t>
            </w:r>
          </w:p>
          <w:p w14:paraId="5D69A57C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34F0">
              <w:rPr>
                <w:rFonts w:ascii="Times New Roman" w:hAnsi="Times New Roman"/>
                <w:sz w:val="20"/>
                <w:szCs w:val="20"/>
              </w:rPr>
              <w:t>utrzymujące się pogorszenie stanu sprawności ogólnej:</w:t>
            </w:r>
          </w:p>
          <w:p w14:paraId="38FE6954" w14:textId="7777777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nowo zdiagnozowanego raka jajnika, raka jajowodu lub pierwotnego raka otrzewnej: do stopnia ≥ 2 według kryteriów ECOG;</w:t>
            </w:r>
          </w:p>
          <w:p w14:paraId="131B88D8" w14:textId="77777777" w:rsidR="00675180" w:rsidRPr="00E434F0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nawrotowego raka jajnika, raka jajowodu lub pierwotnego raka otrzewnej: do stopnia ≥ 3 według kryteriów ECOG;</w:t>
            </w:r>
          </w:p>
          <w:p w14:paraId="7824D76B" w14:textId="1382DEBE" w:rsidR="00F42DA8" w:rsidRPr="00B13132" w:rsidRDefault="00F42DA8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opornego na platynę raka jajnika, raka jajowodu lub pierwotnego raka otrzewnej: do stopnia ≥ 2 według kryteriów ECOG;</w:t>
            </w:r>
          </w:p>
          <w:p w14:paraId="225D8B54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wystąpienie chorób lub stanów, które w opinii lekarza prowadzącego uniemożliwiają prowadzenie leczenia;</w:t>
            </w:r>
          </w:p>
          <w:p w14:paraId="79B6EC94" w14:textId="77777777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7F4D343" w14:textId="77777777" w:rsidR="00E116BE" w:rsidRPr="00E434F0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karmienie piersią podczas leczenia oraz 1 miesiąc po przyjęciu ostatniej dawki leku;</w:t>
            </w:r>
          </w:p>
          <w:p w14:paraId="60E45C71" w14:textId="79DEEB46" w:rsidR="00675180" w:rsidRPr="00E434F0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33BB48D2" w14:textId="77777777" w:rsidR="00675180" w:rsidRPr="00E434F0" w:rsidRDefault="00675180" w:rsidP="001230E5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</w:tcPr>
          <w:p w14:paraId="32E57E1A" w14:textId="77777777" w:rsidR="00675180" w:rsidRPr="00E434F0" w:rsidRDefault="00675180" w:rsidP="00E76AFE">
            <w:pPr>
              <w:pStyle w:val="Akapitzlist"/>
              <w:numPr>
                <w:ilvl w:val="0"/>
                <w:numId w:val="1"/>
              </w:numPr>
              <w:spacing w:before="120" w:after="60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Dawkowanie</w:t>
            </w:r>
          </w:p>
          <w:p w14:paraId="29236ECF" w14:textId="77777777" w:rsidR="00675180" w:rsidRPr="00E434F0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 w monoterapii:</w:t>
            </w:r>
          </w:p>
          <w:p w14:paraId="4F5EB9FD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600 mg.</w:t>
            </w:r>
          </w:p>
          <w:p w14:paraId="001200FF" w14:textId="77777777" w:rsidR="00675180" w:rsidRPr="00E434F0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niraparyb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 monoterapii:</w:t>
            </w:r>
          </w:p>
          <w:p w14:paraId="4DBCE132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300 mg.</w:t>
            </w:r>
          </w:p>
          <w:p w14:paraId="62181B99" w14:textId="77777777" w:rsidR="00675180" w:rsidRPr="00E434F0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rukaparyb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 monoterapii:</w:t>
            </w:r>
          </w:p>
          <w:p w14:paraId="51E79B4A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maksymalna całkowita dawka dobowa: 1200 mg.  </w:t>
            </w:r>
          </w:p>
          <w:p w14:paraId="3D3D5680" w14:textId="77777777" w:rsidR="00675180" w:rsidRPr="00E434F0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Leczenie inhibitorami PARP należy rozpocząć najpóźniej do 12 tygodni od zakończenia leczenia chemioterapią.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752C4690" w14:textId="77777777" w:rsidR="00675180" w:rsidRPr="00E434F0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olaparyb w skojarzeniu z bewacyzumabem: </w:t>
            </w:r>
          </w:p>
          <w:p w14:paraId="3E9BE8E4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bewacyzumab - 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 mg/kg masy ciała dożylnie, rytm: co 3 tygodnie, do 22 cykli łącznie.</w:t>
            </w:r>
          </w:p>
          <w:p w14:paraId="7E423FED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 należy rozpocząć nie później niż podczas trzech ostatnich cykli chemioterapii.</w:t>
            </w:r>
          </w:p>
          <w:p w14:paraId="4E9B63C7" w14:textId="77777777" w:rsidR="00675180" w:rsidRPr="00E434F0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- maksymalna całkowita dawka dobowa: 600 mg.</w:t>
            </w:r>
          </w:p>
          <w:p w14:paraId="1DA21079" w14:textId="1C1F7F04" w:rsidR="00675180" w:rsidRPr="00E434F0" w:rsidRDefault="00675180" w:rsidP="00E116B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Leczenie należy rozpocząć nie wcześniej niż 3 tygodnie i nie później niż 12 tygodni po 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zakończeniu chemioterapii opartej na związkach platyny w skojarzeniu z bewacyzumabem.</w:t>
            </w:r>
          </w:p>
          <w:p w14:paraId="4DC239BA" w14:textId="77777777" w:rsidR="00E116BE" w:rsidRPr="00B13132" w:rsidRDefault="00E116BE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mirwetuksymab sorawtanzyna w monoterapii:</w:t>
            </w:r>
          </w:p>
          <w:p w14:paraId="2F2D6292" w14:textId="68F8C37A" w:rsidR="00E116BE" w:rsidRPr="00B13132" w:rsidRDefault="00E116BE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zalecana dawka wynosi 6 mg/kg skorygowanej należnej masy ciała (ang. adjusted ideal body weight, AIBW), podawana raz na 3 tygodnie (cykl 21-dniowy) w postaci infuzji dożylnej. </w:t>
            </w:r>
          </w:p>
          <w:p w14:paraId="7B2B583F" w14:textId="77777777" w:rsidR="00E116BE" w:rsidRPr="00B13132" w:rsidRDefault="00E116BE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Wzór:</w:t>
            </w:r>
          </w:p>
          <w:p w14:paraId="61201D90" w14:textId="109079F4" w:rsidR="007D5695" w:rsidRPr="00E434F0" w:rsidRDefault="007D5695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IBW kobiety [kg] = 0,9*wzrost [cm] – 92</w:t>
            </w:r>
          </w:p>
          <w:p w14:paraId="48E56797" w14:textId="77777777" w:rsidR="00E116BE" w:rsidRPr="00B13132" w:rsidRDefault="00E116BE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B13132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AIBW = należna masa ciała (IBW [kg]) + 0,4*(rzeczywista masa ciała [kg] – IBW)</w:t>
            </w:r>
          </w:p>
          <w:p w14:paraId="2AF8822A" w14:textId="77777777" w:rsidR="00E116BE" w:rsidRPr="00E434F0" w:rsidRDefault="00E116BE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</w:p>
          <w:p w14:paraId="6D5EAE92" w14:textId="77777777" w:rsidR="00675180" w:rsidRPr="00E434F0" w:rsidRDefault="00675180" w:rsidP="00E76AFE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Modyfikacja dawkowania leków</w:t>
            </w:r>
          </w:p>
          <w:p w14:paraId="645C1537" w14:textId="77777777" w:rsidR="00675180" w:rsidRPr="00E434F0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752FAA55" w14:textId="77777777" w:rsidR="00675180" w:rsidRPr="00E434F0" w:rsidRDefault="00675180" w:rsidP="001230E5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5" w:type="pct"/>
          </w:tcPr>
          <w:p w14:paraId="40A6835A" w14:textId="77777777" w:rsidR="00675180" w:rsidRPr="00E434F0" w:rsidRDefault="00675180" w:rsidP="00E76AF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4F09F2EE" w14:textId="25B2177E" w:rsidR="00675180" w:rsidRPr="00E434F0" w:rsidRDefault="00675180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w celu potwierdzenia uzyskania obiektywnej odpowiedzi (całkowitej lub częściowej) na leczenia schematem chemioterapii zawierającym pochodne platyny należy wykonać badanie tomografii komputerowej lub rezonansu magnetycznego jamy brzusznej i miednicy oraz innych okolic ciała w zależności od wskazań klinicznych;</w:t>
            </w:r>
          </w:p>
          <w:p w14:paraId="4BB96921" w14:textId="77777777" w:rsidR="00675180" w:rsidRPr="00E434F0" w:rsidRDefault="00675180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2302FA92" w14:textId="6402B989" w:rsidR="00675180" w:rsidRPr="00E434F0" w:rsidRDefault="00675180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oznaczenia stężenia kreatyniny</w:t>
            </w:r>
            <w:r w:rsidR="007230B4"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0B4" w:rsidRPr="00B13132">
              <w:rPr>
                <w:rFonts w:ascii="Times New Roman" w:hAnsi="Times New Roman" w:cs="Times New Roman"/>
                <w:sz w:val="20"/>
                <w:szCs w:val="20"/>
              </w:rPr>
              <w:t>i klirensu kreatyniny</w:t>
            </w: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5375E0" w14:textId="580D2C21" w:rsidR="00675180" w:rsidRPr="00E434F0" w:rsidRDefault="00675180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 w:rsidR="007230B4"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0B4" w:rsidRPr="00B13132">
              <w:rPr>
                <w:rFonts w:ascii="Times New Roman" w:hAnsi="Times New Roman" w:cs="Times New Roman"/>
                <w:sz w:val="20"/>
                <w:szCs w:val="20"/>
              </w:rPr>
              <w:t>całkowitej i bezpośredniej</w:t>
            </w: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DDED1D" w14:textId="77777777" w:rsidR="00675180" w:rsidRPr="00E434F0" w:rsidRDefault="00675180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6CDE4A19" w14:textId="77777777" w:rsidR="00675180" w:rsidRPr="00E434F0" w:rsidRDefault="00675180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asparaginianowej;</w:t>
            </w:r>
          </w:p>
          <w:p w14:paraId="10395A46" w14:textId="44608B36" w:rsidR="00933623" w:rsidRPr="00E434F0" w:rsidRDefault="00675180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0F04E70A" w14:textId="5E8A12A5" w:rsidR="00430D56" w:rsidRPr="00B13132" w:rsidRDefault="00430D56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badanie TK lub MR jamy brzusznej i miednicy oraz innych okolic ciała w zależności od wskazań klinicznych w 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przypadku zastosowania mirwetuksymabu sorawtanzyny;</w:t>
            </w:r>
          </w:p>
          <w:p w14:paraId="258EA01F" w14:textId="44DCB715" w:rsidR="00A734C7" w:rsidRPr="00E434F0" w:rsidRDefault="00A734C7" w:rsidP="00BB2A40">
            <w:pPr>
              <w:pStyle w:val="Akapitzlist"/>
              <w:numPr>
                <w:ilvl w:val="3"/>
                <w:numId w:val="2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EKG 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w przypadku leczenia mirwetuksymabem sorawtanzyn</w:t>
            </w:r>
            <w:r w:rsidR="007D569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77E472B" w14:textId="62688076" w:rsidR="00A734C7" w:rsidRPr="00E434F0" w:rsidRDefault="00A734C7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konsultacja okulistyczna 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w przypadku leczenia mirwetuksymabem sorawtanzyn</w:t>
            </w:r>
            <w:r w:rsidR="007D569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6F939D" w14:textId="379FBD45" w:rsidR="00A734C7" w:rsidRPr="00E434F0" w:rsidRDefault="00675180" w:rsidP="00BB2A40">
            <w:pPr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jeżeli zachodzi konieczność wykluczenia ciąży wykonuje się próbę ciążową;</w:t>
            </w:r>
          </w:p>
          <w:p w14:paraId="097940E7" w14:textId="77777777" w:rsidR="00675180" w:rsidRPr="00E434F0" w:rsidRDefault="00675180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0BBB94B2" w14:textId="77777777" w:rsidR="00675180" w:rsidRPr="00E434F0" w:rsidRDefault="00675180" w:rsidP="00BB2A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E6795C" w14:textId="0878945C" w:rsidR="00675180" w:rsidRPr="00E434F0" w:rsidRDefault="00675180" w:rsidP="00BB2A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bezpieczeństwa</w:t>
            </w:r>
          </w:p>
          <w:p w14:paraId="3DCAC37F" w14:textId="77777777" w:rsidR="00675180" w:rsidRPr="00E434F0" w:rsidRDefault="00675180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1B840F8B" w14:textId="77777777" w:rsidR="005D5C7C" w:rsidRPr="00E434F0" w:rsidRDefault="005D5C7C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oznaczenia stężenia kreatyniny </w:t>
            </w: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i klirensu kreatyniny;</w:t>
            </w:r>
          </w:p>
          <w:p w14:paraId="3454F8DE" w14:textId="77777777" w:rsidR="005D5C7C" w:rsidRPr="00E434F0" w:rsidRDefault="005D5C7C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bilirubiny </w:t>
            </w:r>
            <w:r w:rsidRPr="00B13132">
              <w:rPr>
                <w:rFonts w:ascii="Times New Roman" w:hAnsi="Times New Roman" w:cs="Times New Roman"/>
                <w:sz w:val="20"/>
                <w:szCs w:val="20"/>
              </w:rPr>
              <w:t>całkowitej i bezpośredniej;</w:t>
            </w:r>
          </w:p>
          <w:p w14:paraId="645051E7" w14:textId="77777777" w:rsidR="00675180" w:rsidRPr="00E434F0" w:rsidRDefault="00675180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7862FE4E" w14:textId="77777777" w:rsidR="00675180" w:rsidRPr="00E434F0" w:rsidRDefault="00675180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asparaginianowej;</w:t>
            </w:r>
          </w:p>
          <w:p w14:paraId="6E41CE53" w14:textId="32F80171" w:rsidR="00933623" w:rsidRPr="00B13132" w:rsidRDefault="00933623" w:rsidP="00BB2A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konsultacja okulistyczna </w:t>
            </w:r>
            <w:r w:rsidR="00E8293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stosowania mirwetuksymabu sorawtanzyny i 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stwierdzenia nowych działań niepożądanych ze strony narządu wzroku lub w stopniu większym lub równym G2 zgodnie z aktualną Charakterystyką Produktu Leczniczego; </w:t>
            </w:r>
          </w:p>
          <w:p w14:paraId="106D8EAF" w14:textId="0BD32822" w:rsidR="00E82935" w:rsidRPr="00E434F0" w:rsidRDefault="00675180" w:rsidP="00BB2A40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inne badanie w razie wskazań klinicznych.</w:t>
            </w:r>
          </w:p>
          <w:p w14:paraId="4B248E32" w14:textId="77777777" w:rsidR="00BB2A40" w:rsidRDefault="00BB2A40" w:rsidP="00BB2A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3F3932" w14:textId="4B670B2D" w:rsidR="00933623" w:rsidRPr="00E434F0" w:rsidRDefault="00675180" w:rsidP="00BB2A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Badania wykonuje</w:t>
            </w:r>
            <w:r w:rsidR="00816C8D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 w przypadku leczenia</w:t>
            </w:r>
            <w:r w:rsidR="00933623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8E66FFC" w14:textId="1418EEB2" w:rsidR="00675180" w:rsidRPr="00E434F0" w:rsidRDefault="00816C8D" w:rsidP="00E76AF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olaparybem albo niraparybem albo ru</w:t>
            </w:r>
            <w:r w:rsidR="007230B4"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aparybem </w:t>
            </w:r>
            <w:r w:rsidR="00675180"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co 1 miesiąc</w:t>
            </w:r>
            <w:r w:rsidR="00933623"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5B4A4CB" w14:textId="5E1514EB" w:rsidR="00933623" w:rsidRPr="00B13132" w:rsidRDefault="00933623" w:rsidP="00E76AF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mirwetuksymab</w:t>
            </w:r>
            <w:r w:rsidR="007D569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em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sorawtanzyn</w:t>
            </w:r>
            <w:r w:rsidR="007D569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 3 tygodnie (tzn. przed każdym podaniem leku) przez pierwsze 3 miesiące leczenia i następnie co 3 miesiące.</w:t>
            </w:r>
          </w:p>
          <w:p w14:paraId="7B62F866" w14:textId="77777777" w:rsidR="00675180" w:rsidRPr="00E434F0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niraparybu w pierwszym miesiącu leczenia zaleca się kontrolę morfologii krwi raz na tydzień i w razie konieczności modyfikację dawkowania.</w:t>
            </w:r>
          </w:p>
          <w:p w14:paraId="1EE069CD" w14:textId="77777777" w:rsidR="00675180" w:rsidRPr="00E434F0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8748575"/>
          </w:p>
          <w:p w14:paraId="2247A3FB" w14:textId="77777777" w:rsidR="00675180" w:rsidRPr="00E434F0" w:rsidRDefault="00675180" w:rsidP="00091BF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</w:p>
          <w:p w14:paraId="316AAB1A" w14:textId="18173827" w:rsidR="00675180" w:rsidRPr="00E434F0" w:rsidRDefault="00675180" w:rsidP="00E76AFE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badanie tomografii komputerowej lub rezonansu magnetycznego jamy brzusznej i miednicy oraz innych okolic ciała w zależności od wskazań klinicznych</w:t>
            </w:r>
            <w:r w:rsidR="00B54D11"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54D11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wykonuje się w przypadku leczenia:</w:t>
            </w:r>
            <w:r w:rsidR="00B54D11"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2BDCB5E" w14:textId="72A026F7" w:rsidR="00B54D11" w:rsidRPr="00E434F0" w:rsidRDefault="00B54D11" w:rsidP="00E76AFE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olaparybem albo niraparybem albo ru</w:t>
            </w:r>
            <w:r w:rsidR="005D3A72"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aparybem nie rzadziej niż co 6 miesięcy, </w:t>
            </w:r>
          </w:p>
          <w:p w14:paraId="1141C8E3" w14:textId="28B6C194" w:rsidR="00B54D11" w:rsidRPr="00B13132" w:rsidRDefault="00B54D11" w:rsidP="00E76AFE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mirwetuksymab</w:t>
            </w:r>
            <w:r w:rsidR="007D569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em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sorawtanzyn</w:t>
            </w:r>
            <w:r w:rsidR="007D5695"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B131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nie rzadziej niż co 3 miesiące, przy czym pierwsze badanie monitorujące wykonuje się najpóźniej w 9 tygodniu leczenia.</w:t>
            </w:r>
          </w:p>
          <w:p w14:paraId="6432D2E5" w14:textId="478ABAC5" w:rsidR="00675180" w:rsidRPr="00E434F0" w:rsidRDefault="00675180" w:rsidP="00091BF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oznaczenie stężenia CA125 </w:t>
            </w:r>
            <w:r w:rsidRPr="00E434F0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 1 miesiąc lub w przypadku podejrzenia progresji choroby nowotworowej</w:t>
            </w:r>
            <w:r w:rsidR="00B54D11" w:rsidRPr="00E434F0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przy wzroście stężenia CA125 - przekraczającym 2-krotną wartość nadiru (u chorych z wartością wyjściową poza zakresem normy) lub 2-krotnie górną granicę normy stwierdzonym w dwóch </w:t>
            </w:r>
            <w:r w:rsidR="00B54D11" w:rsidRPr="00E434F0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 xml:space="preserve">kolejnych oznaczeniach, dokonanych w odstępie, co najmniej 1 tygodnia. Natomiast w przypadku braku objawów progresji w badaniu obrazowym (TK/RMI) kolejne badanie obrazowe wykonuje się nie wcześniej niż za 3 miesiące, chyba że wcześniej wystąpią objawy kliniczne progresji choroby nowotworowej. </w:t>
            </w:r>
          </w:p>
          <w:p w14:paraId="0CD17BDA" w14:textId="77777777" w:rsidR="00675180" w:rsidRPr="00E434F0" w:rsidRDefault="00675180" w:rsidP="00E76AFE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30B26A5D" w14:textId="77777777" w:rsidR="00B54D11" w:rsidRPr="00E434F0" w:rsidRDefault="00B54D11" w:rsidP="00B54D11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97A0CF" w14:textId="77777777" w:rsidR="00675180" w:rsidRPr="00E434F0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Oceny skuteczności leczenia dokonuje się zgodnie z aktualnymi kryteriami RECIST.</w:t>
            </w:r>
            <w:bookmarkEnd w:id="1"/>
          </w:p>
          <w:p w14:paraId="5D00F5E5" w14:textId="77777777" w:rsidR="00675180" w:rsidRPr="00E434F0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08E64416" w14:textId="77777777" w:rsidR="00675180" w:rsidRPr="00E434F0" w:rsidRDefault="00675180" w:rsidP="00E76AF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całkowitą (CR) lub częściową odpowiedź (PR) na leczenie,</w:t>
            </w:r>
          </w:p>
          <w:p w14:paraId="04CEB712" w14:textId="77777777" w:rsidR="00675180" w:rsidRPr="00E434F0" w:rsidRDefault="00675180" w:rsidP="00E76AF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stabilizację (SD) lub progresję choroby (PD),</w:t>
            </w:r>
          </w:p>
          <w:p w14:paraId="0951CE10" w14:textId="77777777" w:rsidR="00675180" w:rsidRPr="00E434F0" w:rsidRDefault="00675180" w:rsidP="00E76AFE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225AE8D9" w14:textId="77777777" w:rsidR="00675180" w:rsidRPr="00E434F0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14A386AE" w14:textId="77777777" w:rsidR="00675180" w:rsidRPr="00E434F0" w:rsidRDefault="00675180" w:rsidP="00E76A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60727D60" w14:textId="77777777" w:rsidR="00675180" w:rsidRPr="00E434F0" w:rsidRDefault="00675180" w:rsidP="00E76AF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2340C69C" w14:textId="59BAEA15" w:rsidR="00675180" w:rsidRPr="00E434F0" w:rsidRDefault="00675180" w:rsidP="00E76AF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uzupełnianie danych zawartych w elektronicznym systemie monitorowania programów lekowych, w tym również parametrów dotyczących skuteczności </w:t>
            </w: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07101662" w14:textId="77777777" w:rsidR="00675180" w:rsidRPr="00E434F0" w:rsidRDefault="00675180" w:rsidP="00E76AFE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E434F0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0F375A90" w14:textId="77777777" w:rsidR="00675180" w:rsidRPr="00572AC2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02F98D18" w14:textId="77777777" w:rsidR="00675180" w:rsidRPr="00796D93" w:rsidRDefault="00675180" w:rsidP="00675180">
      <w:pPr>
        <w:rPr>
          <w:sz w:val="2"/>
          <w:szCs w:val="2"/>
        </w:rPr>
      </w:pPr>
    </w:p>
    <w:p w14:paraId="120DA131" w14:textId="77777777" w:rsidR="00424304" w:rsidRPr="00C75228" w:rsidRDefault="00424304"/>
    <w:sectPr w:rsidR="00424304" w:rsidRPr="00C75228" w:rsidSect="00675180">
      <w:headerReference w:type="default" r:id="rId11"/>
      <w:footerReference w:type="default" r:id="rId12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E519" w14:textId="77777777" w:rsidR="003D59E7" w:rsidRDefault="003D59E7" w:rsidP="000058B5">
      <w:pPr>
        <w:spacing w:after="0" w:line="240" w:lineRule="auto"/>
      </w:pPr>
      <w:r>
        <w:separator/>
      </w:r>
    </w:p>
  </w:endnote>
  <w:endnote w:type="continuationSeparator" w:id="0">
    <w:p w14:paraId="69F71752" w14:textId="77777777" w:rsidR="003D59E7" w:rsidRDefault="003D59E7" w:rsidP="000058B5">
      <w:pPr>
        <w:spacing w:after="0" w:line="240" w:lineRule="auto"/>
      </w:pPr>
      <w:r>
        <w:continuationSeparator/>
      </w:r>
    </w:p>
  </w:endnote>
  <w:endnote w:type="continuationNotice" w:id="1">
    <w:p w14:paraId="7C28F676" w14:textId="77777777" w:rsidR="003D59E7" w:rsidRDefault="003D59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72E5" w14:textId="77777777" w:rsidR="000058B5" w:rsidRDefault="0000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374FA" w14:textId="77777777" w:rsidR="003D59E7" w:rsidRDefault="003D59E7" w:rsidP="000058B5">
      <w:pPr>
        <w:spacing w:after="0" w:line="240" w:lineRule="auto"/>
      </w:pPr>
      <w:r>
        <w:separator/>
      </w:r>
    </w:p>
  </w:footnote>
  <w:footnote w:type="continuationSeparator" w:id="0">
    <w:p w14:paraId="2D91028C" w14:textId="77777777" w:rsidR="003D59E7" w:rsidRDefault="003D59E7" w:rsidP="000058B5">
      <w:pPr>
        <w:spacing w:after="0" w:line="240" w:lineRule="auto"/>
      </w:pPr>
      <w:r>
        <w:continuationSeparator/>
      </w:r>
    </w:p>
  </w:footnote>
  <w:footnote w:type="continuationNotice" w:id="1">
    <w:p w14:paraId="4A5EB2D4" w14:textId="77777777" w:rsidR="003D59E7" w:rsidRDefault="003D59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8265" w14:textId="77777777" w:rsidR="000058B5" w:rsidRDefault="00005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759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EEF25DF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7B8294B"/>
    <w:multiLevelType w:val="hybridMultilevel"/>
    <w:tmpl w:val="98AC8EE2"/>
    <w:lvl w:ilvl="0" w:tplc="D824755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F6537"/>
    <w:multiLevelType w:val="multilevel"/>
    <w:tmpl w:val="CEECB8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BD70206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4514F7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083315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72F10C1"/>
    <w:multiLevelType w:val="hybridMultilevel"/>
    <w:tmpl w:val="E6B201E6"/>
    <w:lvl w:ilvl="0" w:tplc="CC6CE96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2660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BF926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7782AF9"/>
    <w:multiLevelType w:val="multilevel"/>
    <w:tmpl w:val="CEECB8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AEC1CD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85633632">
    <w:abstractNumId w:val="6"/>
  </w:num>
  <w:num w:numId="2" w16cid:durableId="1072191406">
    <w:abstractNumId w:val="10"/>
  </w:num>
  <w:num w:numId="3" w16cid:durableId="1287201831">
    <w:abstractNumId w:val="7"/>
  </w:num>
  <w:num w:numId="4" w16cid:durableId="605885251">
    <w:abstractNumId w:val="9"/>
  </w:num>
  <w:num w:numId="5" w16cid:durableId="811752773">
    <w:abstractNumId w:val="3"/>
  </w:num>
  <w:num w:numId="6" w16cid:durableId="2036735574">
    <w:abstractNumId w:val="0"/>
  </w:num>
  <w:num w:numId="7" w16cid:durableId="18632007">
    <w:abstractNumId w:val="12"/>
  </w:num>
  <w:num w:numId="8" w16cid:durableId="1183320670">
    <w:abstractNumId w:val="8"/>
  </w:num>
  <w:num w:numId="9" w16cid:durableId="290524522">
    <w:abstractNumId w:val="1"/>
  </w:num>
  <w:num w:numId="10" w16cid:durableId="1681540300">
    <w:abstractNumId w:val="2"/>
  </w:num>
  <w:num w:numId="11" w16cid:durableId="1146432211">
    <w:abstractNumId w:val="11"/>
  </w:num>
  <w:num w:numId="12" w16cid:durableId="926840165">
    <w:abstractNumId w:val="5"/>
  </w:num>
  <w:num w:numId="13" w16cid:durableId="159555145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88"/>
    <w:rsid w:val="000058B5"/>
    <w:rsid w:val="00007613"/>
    <w:rsid w:val="0001011E"/>
    <w:rsid w:val="00013210"/>
    <w:rsid w:val="00017AB8"/>
    <w:rsid w:val="0002145D"/>
    <w:rsid w:val="0002599D"/>
    <w:rsid w:val="00040AFA"/>
    <w:rsid w:val="00046C32"/>
    <w:rsid w:val="0005093B"/>
    <w:rsid w:val="000532AF"/>
    <w:rsid w:val="00061666"/>
    <w:rsid w:val="00062B8E"/>
    <w:rsid w:val="0006514A"/>
    <w:rsid w:val="00091BF8"/>
    <w:rsid w:val="000A0070"/>
    <w:rsid w:val="000A04E0"/>
    <w:rsid w:val="000C4483"/>
    <w:rsid w:val="000C73C7"/>
    <w:rsid w:val="000D50B2"/>
    <w:rsid w:val="000D567E"/>
    <w:rsid w:val="000D5963"/>
    <w:rsid w:val="000D7ED5"/>
    <w:rsid w:val="000E260C"/>
    <w:rsid w:val="000F3C6B"/>
    <w:rsid w:val="000F5794"/>
    <w:rsid w:val="000F6B09"/>
    <w:rsid w:val="000F73D7"/>
    <w:rsid w:val="00102AB5"/>
    <w:rsid w:val="0010494C"/>
    <w:rsid w:val="001121DF"/>
    <w:rsid w:val="001168A9"/>
    <w:rsid w:val="001206FF"/>
    <w:rsid w:val="00132F47"/>
    <w:rsid w:val="001409AD"/>
    <w:rsid w:val="0014687D"/>
    <w:rsid w:val="00154B2A"/>
    <w:rsid w:val="00154F91"/>
    <w:rsid w:val="00155C2A"/>
    <w:rsid w:val="0015616D"/>
    <w:rsid w:val="0015722D"/>
    <w:rsid w:val="001604B3"/>
    <w:rsid w:val="00172D31"/>
    <w:rsid w:val="0017593B"/>
    <w:rsid w:val="00180604"/>
    <w:rsid w:val="00194BEB"/>
    <w:rsid w:val="001959CC"/>
    <w:rsid w:val="00195F8B"/>
    <w:rsid w:val="001968AD"/>
    <w:rsid w:val="001A0E7E"/>
    <w:rsid w:val="001B5848"/>
    <w:rsid w:val="001B5C2F"/>
    <w:rsid w:val="001B79C5"/>
    <w:rsid w:val="001D010E"/>
    <w:rsid w:val="001D2AA2"/>
    <w:rsid w:val="001E2A25"/>
    <w:rsid w:val="001E4863"/>
    <w:rsid w:val="001E53EF"/>
    <w:rsid w:val="001F004C"/>
    <w:rsid w:val="001F395F"/>
    <w:rsid w:val="00213FE1"/>
    <w:rsid w:val="00215F0C"/>
    <w:rsid w:val="0022077B"/>
    <w:rsid w:val="00226612"/>
    <w:rsid w:val="00227A3C"/>
    <w:rsid w:val="002335DC"/>
    <w:rsid w:val="00236085"/>
    <w:rsid w:val="002525A7"/>
    <w:rsid w:val="0025496E"/>
    <w:rsid w:val="00255AF5"/>
    <w:rsid w:val="00262294"/>
    <w:rsid w:val="0027649E"/>
    <w:rsid w:val="00280023"/>
    <w:rsid w:val="00281A62"/>
    <w:rsid w:val="0028544D"/>
    <w:rsid w:val="002918E0"/>
    <w:rsid w:val="002C36E0"/>
    <w:rsid w:val="002C3BB8"/>
    <w:rsid w:val="002C6EE3"/>
    <w:rsid w:val="002C7BE2"/>
    <w:rsid w:val="002D279F"/>
    <w:rsid w:val="002F1106"/>
    <w:rsid w:val="002F15E9"/>
    <w:rsid w:val="002F272E"/>
    <w:rsid w:val="002F33E1"/>
    <w:rsid w:val="002F623C"/>
    <w:rsid w:val="00311F33"/>
    <w:rsid w:val="00313368"/>
    <w:rsid w:val="00314E53"/>
    <w:rsid w:val="00320906"/>
    <w:rsid w:val="0032280B"/>
    <w:rsid w:val="00327AC9"/>
    <w:rsid w:val="00327DF0"/>
    <w:rsid w:val="00342ABC"/>
    <w:rsid w:val="003440BC"/>
    <w:rsid w:val="00344C41"/>
    <w:rsid w:val="00351DF3"/>
    <w:rsid w:val="00357461"/>
    <w:rsid w:val="00357798"/>
    <w:rsid w:val="0036661E"/>
    <w:rsid w:val="00383303"/>
    <w:rsid w:val="00385C45"/>
    <w:rsid w:val="0039430C"/>
    <w:rsid w:val="00394DE9"/>
    <w:rsid w:val="0039796C"/>
    <w:rsid w:val="003A1911"/>
    <w:rsid w:val="003A486A"/>
    <w:rsid w:val="003B3BC6"/>
    <w:rsid w:val="003C5E6F"/>
    <w:rsid w:val="003C6511"/>
    <w:rsid w:val="003D59E7"/>
    <w:rsid w:val="003E3833"/>
    <w:rsid w:val="003F7D6C"/>
    <w:rsid w:val="0040229D"/>
    <w:rsid w:val="00402A40"/>
    <w:rsid w:val="00406F2C"/>
    <w:rsid w:val="004221D6"/>
    <w:rsid w:val="00424304"/>
    <w:rsid w:val="00430D56"/>
    <w:rsid w:val="0043452E"/>
    <w:rsid w:val="00435F1B"/>
    <w:rsid w:val="00436F70"/>
    <w:rsid w:val="00440375"/>
    <w:rsid w:val="00444E57"/>
    <w:rsid w:val="0045676C"/>
    <w:rsid w:val="0047510D"/>
    <w:rsid w:val="0048327B"/>
    <w:rsid w:val="004A2DD1"/>
    <w:rsid w:val="004A2EC1"/>
    <w:rsid w:val="004B00D5"/>
    <w:rsid w:val="004C2775"/>
    <w:rsid w:val="004C62A3"/>
    <w:rsid w:val="004D291F"/>
    <w:rsid w:val="004E2A5B"/>
    <w:rsid w:val="004E33E0"/>
    <w:rsid w:val="004E3E40"/>
    <w:rsid w:val="004E59EE"/>
    <w:rsid w:val="00501659"/>
    <w:rsid w:val="00503FA1"/>
    <w:rsid w:val="00504DD1"/>
    <w:rsid w:val="00512690"/>
    <w:rsid w:val="005128E6"/>
    <w:rsid w:val="00520AA8"/>
    <w:rsid w:val="00531A82"/>
    <w:rsid w:val="00532A95"/>
    <w:rsid w:val="00533DC2"/>
    <w:rsid w:val="00540CE2"/>
    <w:rsid w:val="00543662"/>
    <w:rsid w:val="00556A17"/>
    <w:rsid w:val="005640FA"/>
    <w:rsid w:val="00566213"/>
    <w:rsid w:val="00570380"/>
    <w:rsid w:val="00572AC2"/>
    <w:rsid w:val="00573B40"/>
    <w:rsid w:val="00575374"/>
    <w:rsid w:val="005777F6"/>
    <w:rsid w:val="00584713"/>
    <w:rsid w:val="00593003"/>
    <w:rsid w:val="00596215"/>
    <w:rsid w:val="005976F9"/>
    <w:rsid w:val="005A3AB4"/>
    <w:rsid w:val="005B3A9D"/>
    <w:rsid w:val="005D3A72"/>
    <w:rsid w:val="005D3EA5"/>
    <w:rsid w:val="005D5C7C"/>
    <w:rsid w:val="005E221E"/>
    <w:rsid w:val="005F1CED"/>
    <w:rsid w:val="005F35F3"/>
    <w:rsid w:val="00601D86"/>
    <w:rsid w:val="0061112B"/>
    <w:rsid w:val="006114E8"/>
    <w:rsid w:val="006158FE"/>
    <w:rsid w:val="00617BA6"/>
    <w:rsid w:val="00626F2E"/>
    <w:rsid w:val="00631D00"/>
    <w:rsid w:val="00634D88"/>
    <w:rsid w:val="00635476"/>
    <w:rsid w:val="00641C95"/>
    <w:rsid w:val="00643588"/>
    <w:rsid w:val="0065125E"/>
    <w:rsid w:val="00651472"/>
    <w:rsid w:val="0065524E"/>
    <w:rsid w:val="0065738E"/>
    <w:rsid w:val="0066147B"/>
    <w:rsid w:val="006628CE"/>
    <w:rsid w:val="0066712A"/>
    <w:rsid w:val="00675180"/>
    <w:rsid w:val="00676F1E"/>
    <w:rsid w:val="00687590"/>
    <w:rsid w:val="00692181"/>
    <w:rsid w:val="00697399"/>
    <w:rsid w:val="006B5DD1"/>
    <w:rsid w:val="006C0AF1"/>
    <w:rsid w:val="006C3FFE"/>
    <w:rsid w:val="006C503F"/>
    <w:rsid w:val="006C62A6"/>
    <w:rsid w:val="006E1C84"/>
    <w:rsid w:val="006E4432"/>
    <w:rsid w:val="006F379C"/>
    <w:rsid w:val="006F40A9"/>
    <w:rsid w:val="006F6241"/>
    <w:rsid w:val="00703594"/>
    <w:rsid w:val="00707A7D"/>
    <w:rsid w:val="00711EDC"/>
    <w:rsid w:val="00716A6D"/>
    <w:rsid w:val="00722F96"/>
    <w:rsid w:val="007230B4"/>
    <w:rsid w:val="00726C0F"/>
    <w:rsid w:val="007378A2"/>
    <w:rsid w:val="007404B4"/>
    <w:rsid w:val="00743C58"/>
    <w:rsid w:val="00743F43"/>
    <w:rsid w:val="007516AB"/>
    <w:rsid w:val="00756B51"/>
    <w:rsid w:val="007574E3"/>
    <w:rsid w:val="00774932"/>
    <w:rsid w:val="00775A55"/>
    <w:rsid w:val="00781277"/>
    <w:rsid w:val="007955FB"/>
    <w:rsid w:val="00796D93"/>
    <w:rsid w:val="007A13DA"/>
    <w:rsid w:val="007A345A"/>
    <w:rsid w:val="007A5413"/>
    <w:rsid w:val="007A60A8"/>
    <w:rsid w:val="007B571F"/>
    <w:rsid w:val="007B5D0F"/>
    <w:rsid w:val="007B6F57"/>
    <w:rsid w:val="007C1B52"/>
    <w:rsid w:val="007C23BB"/>
    <w:rsid w:val="007C2D9E"/>
    <w:rsid w:val="007C39B4"/>
    <w:rsid w:val="007C46F7"/>
    <w:rsid w:val="007D5695"/>
    <w:rsid w:val="007D5CCA"/>
    <w:rsid w:val="007E2932"/>
    <w:rsid w:val="007E2F22"/>
    <w:rsid w:val="007E5AD9"/>
    <w:rsid w:val="007E5C70"/>
    <w:rsid w:val="007E6049"/>
    <w:rsid w:val="007F1D31"/>
    <w:rsid w:val="007F5F4B"/>
    <w:rsid w:val="007F7041"/>
    <w:rsid w:val="0080146B"/>
    <w:rsid w:val="00803D93"/>
    <w:rsid w:val="00804352"/>
    <w:rsid w:val="00810102"/>
    <w:rsid w:val="00812152"/>
    <w:rsid w:val="008160B0"/>
    <w:rsid w:val="00816C8D"/>
    <w:rsid w:val="008171AF"/>
    <w:rsid w:val="00817CD9"/>
    <w:rsid w:val="00826C22"/>
    <w:rsid w:val="00830D83"/>
    <w:rsid w:val="00850E3A"/>
    <w:rsid w:val="00863367"/>
    <w:rsid w:val="0086376B"/>
    <w:rsid w:val="008639E4"/>
    <w:rsid w:val="00875241"/>
    <w:rsid w:val="00876B66"/>
    <w:rsid w:val="008823C1"/>
    <w:rsid w:val="0088650B"/>
    <w:rsid w:val="00886A2B"/>
    <w:rsid w:val="00887762"/>
    <w:rsid w:val="008973AB"/>
    <w:rsid w:val="008A1767"/>
    <w:rsid w:val="008C02C4"/>
    <w:rsid w:val="008C398E"/>
    <w:rsid w:val="008C453C"/>
    <w:rsid w:val="008E049F"/>
    <w:rsid w:val="008E6FD1"/>
    <w:rsid w:val="008F2C0F"/>
    <w:rsid w:val="00901514"/>
    <w:rsid w:val="00915714"/>
    <w:rsid w:val="00933623"/>
    <w:rsid w:val="00953788"/>
    <w:rsid w:val="00956DEF"/>
    <w:rsid w:val="00964031"/>
    <w:rsid w:val="00964D18"/>
    <w:rsid w:val="009671E7"/>
    <w:rsid w:val="009810E2"/>
    <w:rsid w:val="00983347"/>
    <w:rsid w:val="00984ABC"/>
    <w:rsid w:val="0098580F"/>
    <w:rsid w:val="009863CC"/>
    <w:rsid w:val="009934D9"/>
    <w:rsid w:val="00994D68"/>
    <w:rsid w:val="009A0DF3"/>
    <w:rsid w:val="009B7AD5"/>
    <w:rsid w:val="009C5B2E"/>
    <w:rsid w:val="009C678A"/>
    <w:rsid w:val="009D007F"/>
    <w:rsid w:val="009D7F65"/>
    <w:rsid w:val="009E1E32"/>
    <w:rsid w:val="009F2C53"/>
    <w:rsid w:val="009F371B"/>
    <w:rsid w:val="009F5AB3"/>
    <w:rsid w:val="00A1006A"/>
    <w:rsid w:val="00A2049C"/>
    <w:rsid w:val="00A214E9"/>
    <w:rsid w:val="00A24AE0"/>
    <w:rsid w:val="00A27412"/>
    <w:rsid w:val="00A278DB"/>
    <w:rsid w:val="00A35748"/>
    <w:rsid w:val="00A3764E"/>
    <w:rsid w:val="00A529AB"/>
    <w:rsid w:val="00A55045"/>
    <w:rsid w:val="00A62BE3"/>
    <w:rsid w:val="00A65962"/>
    <w:rsid w:val="00A734C7"/>
    <w:rsid w:val="00A81005"/>
    <w:rsid w:val="00A83F74"/>
    <w:rsid w:val="00A87073"/>
    <w:rsid w:val="00A90FA0"/>
    <w:rsid w:val="00A91C1B"/>
    <w:rsid w:val="00A930C2"/>
    <w:rsid w:val="00AA3F46"/>
    <w:rsid w:val="00AA5766"/>
    <w:rsid w:val="00AA5929"/>
    <w:rsid w:val="00AA5E03"/>
    <w:rsid w:val="00AB0201"/>
    <w:rsid w:val="00AB075C"/>
    <w:rsid w:val="00AB29D3"/>
    <w:rsid w:val="00AB2E7A"/>
    <w:rsid w:val="00AC139A"/>
    <w:rsid w:val="00AC1B4F"/>
    <w:rsid w:val="00AC43BC"/>
    <w:rsid w:val="00AC6BA0"/>
    <w:rsid w:val="00AD1867"/>
    <w:rsid w:val="00AD1A75"/>
    <w:rsid w:val="00AD2503"/>
    <w:rsid w:val="00AD34DE"/>
    <w:rsid w:val="00AD6138"/>
    <w:rsid w:val="00AE4CB8"/>
    <w:rsid w:val="00AE4FB3"/>
    <w:rsid w:val="00AE55D2"/>
    <w:rsid w:val="00AF20CE"/>
    <w:rsid w:val="00B0324D"/>
    <w:rsid w:val="00B03F02"/>
    <w:rsid w:val="00B073D4"/>
    <w:rsid w:val="00B13132"/>
    <w:rsid w:val="00B15C9B"/>
    <w:rsid w:val="00B22906"/>
    <w:rsid w:val="00B25EC3"/>
    <w:rsid w:val="00B26B51"/>
    <w:rsid w:val="00B276F1"/>
    <w:rsid w:val="00B348A3"/>
    <w:rsid w:val="00B350F2"/>
    <w:rsid w:val="00B424F1"/>
    <w:rsid w:val="00B43B66"/>
    <w:rsid w:val="00B44D81"/>
    <w:rsid w:val="00B4603C"/>
    <w:rsid w:val="00B47EDE"/>
    <w:rsid w:val="00B508A5"/>
    <w:rsid w:val="00B54D11"/>
    <w:rsid w:val="00B54F4A"/>
    <w:rsid w:val="00B55F01"/>
    <w:rsid w:val="00B61E36"/>
    <w:rsid w:val="00B74F3A"/>
    <w:rsid w:val="00B808A0"/>
    <w:rsid w:val="00B84FE9"/>
    <w:rsid w:val="00B95572"/>
    <w:rsid w:val="00B958FC"/>
    <w:rsid w:val="00BA1A1B"/>
    <w:rsid w:val="00BA6953"/>
    <w:rsid w:val="00BB039F"/>
    <w:rsid w:val="00BB2A40"/>
    <w:rsid w:val="00BC0EF9"/>
    <w:rsid w:val="00BC63DF"/>
    <w:rsid w:val="00BD12A6"/>
    <w:rsid w:val="00BD72A3"/>
    <w:rsid w:val="00BE6B62"/>
    <w:rsid w:val="00BF11AD"/>
    <w:rsid w:val="00C002BC"/>
    <w:rsid w:val="00C04D99"/>
    <w:rsid w:val="00C22318"/>
    <w:rsid w:val="00C2694C"/>
    <w:rsid w:val="00C3638A"/>
    <w:rsid w:val="00C37BA7"/>
    <w:rsid w:val="00C434D6"/>
    <w:rsid w:val="00C4735B"/>
    <w:rsid w:val="00C513F2"/>
    <w:rsid w:val="00C75228"/>
    <w:rsid w:val="00C75678"/>
    <w:rsid w:val="00C82376"/>
    <w:rsid w:val="00C86EA5"/>
    <w:rsid w:val="00CA207F"/>
    <w:rsid w:val="00CA6501"/>
    <w:rsid w:val="00CD116A"/>
    <w:rsid w:val="00CD5246"/>
    <w:rsid w:val="00CE43F3"/>
    <w:rsid w:val="00CE53C8"/>
    <w:rsid w:val="00CF2D77"/>
    <w:rsid w:val="00CF37F6"/>
    <w:rsid w:val="00CF5B3C"/>
    <w:rsid w:val="00CF622C"/>
    <w:rsid w:val="00CF727D"/>
    <w:rsid w:val="00D1073F"/>
    <w:rsid w:val="00D12DD7"/>
    <w:rsid w:val="00D2024B"/>
    <w:rsid w:val="00D2265C"/>
    <w:rsid w:val="00D22BBE"/>
    <w:rsid w:val="00D22E2B"/>
    <w:rsid w:val="00D3076E"/>
    <w:rsid w:val="00D30D35"/>
    <w:rsid w:val="00D32D40"/>
    <w:rsid w:val="00D36AF0"/>
    <w:rsid w:val="00D62674"/>
    <w:rsid w:val="00D63F79"/>
    <w:rsid w:val="00D664D8"/>
    <w:rsid w:val="00D72954"/>
    <w:rsid w:val="00D7373B"/>
    <w:rsid w:val="00D8689D"/>
    <w:rsid w:val="00D869A6"/>
    <w:rsid w:val="00D871F3"/>
    <w:rsid w:val="00DB552B"/>
    <w:rsid w:val="00DB7544"/>
    <w:rsid w:val="00DC2983"/>
    <w:rsid w:val="00DD167D"/>
    <w:rsid w:val="00DD5914"/>
    <w:rsid w:val="00DE29A6"/>
    <w:rsid w:val="00DE3124"/>
    <w:rsid w:val="00DE6703"/>
    <w:rsid w:val="00DE6AD5"/>
    <w:rsid w:val="00DE731A"/>
    <w:rsid w:val="00DF399A"/>
    <w:rsid w:val="00DF6A29"/>
    <w:rsid w:val="00E00049"/>
    <w:rsid w:val="00E116BE"/>
    <w:rsid w:val="00E160D6"/>
    <w:rsid w:val="00E173EE"/>
    <w:rsid w:val="00E22934"/>
    <w:rsid w:val="00E23624"/>
    <w:rsid w:val="00E3653F"/>
    <w:rsid w:val="00E42722"/>
    <w:rsid w:val="00E434F0"/>
    <w:rsid w:val="00E510E2"/>
    <w:rsid w:val="00E75A69"/>
    <w:rsid w:val="00E76AFE"/>
    <w:rsid w:val="00E82935"/>
    <w:rsid w:val="00E834B2"/>
    <w:rsid w:val="00EA1A7A"/>
    <w:rsid w:val="00EA2AF5"/>
    <w:rsid w:val="00EA60D2"/>
    <w:rsid w:val="00EC2F75"/>
    <w:rsid w:val="00ED4888"/>
    <w:rsid w:val="00EE026B"/>
    <w:rsid w:val="00EE1228"/>
    <w:rsid w:val="00EE5623"/>
    <w:rsid w:val="00EE5E6A"/>
    <w:rsid w:val="00F018D8"/>
    <w:rsid w:val="00F02084"/>
    <w:rsid w:val="00F02502"/>
    <w:rsid w:val="00F07AF3"/>
    <w:rsid w:val="00F21FBB"/>
    <w:rsid w:val="00F23CD3"/>
    <w:rsid w:val="00F25026"/>
    <w:rsid w:val="00F27838"/>
    <w:rsid w:val="00F30E39"/>
    <w:rsid w:val="00F32153"/>
    <w:rsid w:val="00F341F3"/>
    <w:rsid w:val="00F358E1"/>
    <w:rsid w:val="00F4016F"/>
    <w:rsid w:val="00F40BC3"/>
    <w:rsid w:val="00F419A1"/>
    <w:rsid w:val="00F42DA8"/>
    <w:rsid w:val="00F5442C"/>
    <w:rsid w:val="00F55B76"/>
    <w:rsid w:val="00F6413B"/>
    <w:rsid w:val="00F6431F"/>
    <w:rsid w:val="00F7039E"/>
    <w:rsid w:val="00F70ADC"/>
    <w:rsid w:val="00F851D9"/>
    <w:rsid w:val="00F90AFD"/>
    <w:rsid w:val="00F96A9C"/>
    <w:rsid w:val="00F97F41"/>
    <w:rsid w:val="00FB0F1A"/>
    <w:rsid w:val="00FB1308"/>
    <w:rsid w:val="00FC053B"/>
    <w:rsid w:val="00FC3007"/>
    <w:rsid w:val="00FC4016"/>
    <w:rsid w:val="00FD1B0A"/>
    <w:rsid w:val="00FD46B4"/>
    <w:rsid w:val="00FE02BD"/>
    <w:rsid w:val="00FE07C8"/>
    <w:rsid w:val="00FE3F1B"/>
    <w:rsid w:val="00FF473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5E0BA27D-17CC-487A-A95D-539BEF1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8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888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888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48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48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48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48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48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48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4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4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4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4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4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4888"/>
    <w:rPr>
      <w:rFonts w:ascii="Lato" w:hAnsi="Lato"/>
      <w:i/>
      <w:iCs/>
      <w:color w:val="404040" w:themeColor="text1" w:themeTint="BF"/>
    </w:rPr>
  </w:style>
  <w:style w:type="paragraph" w:styleId="Akapitzlist">
    <w:name w:val="List Paragraph"/>
    <w:aliases w:val="Styl moj,Akapit z listą11,podpunkt ankietyy,Table Legend,Bullet1,List Paragraph1,aotm_załączniki,Akapit z listą1,BulletPoints,5 - W tabeli,Dot pt,F5 List Paragraph,No Spacing1,List Paragraph Char Char Char,Indicator Text,BulletList 1"/>
    <w:basedOn w:val="Normalny"/>
    <w:link w:val="AkapitzlistZnak"/>
    <w:uiPriority w:val="34"/>
    <w:qFormat/>
    <w:rsid w:val="00ED48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48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4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4888"/>
    <w:rPr>
      <w:rFonts w:ascii="Lato" w:hAnsi="Lato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488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aotm_załączniki Znak,Akapit z listą1 Znak,BulletPoints Znak,5 - W tabeli Znak,Dot pt Znak,F5 List Paragraph Znak"/>
    <w:link w:val="Akapitzlist"/>
    <w:uiPriority w:val="34"/>
    <w:qFormat/>
    <w:locked/>
    <w:rsid w:val="00675180"/>
    <w:rPr>
      <w:rFonts w:ascii="Lato" w:hAnsi="La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5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58B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8B5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8B5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0058B5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8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8B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0934BE7FCACC428F46B88B00F70F50" ma:contentTypeVersion="14" ma:contentTypeDescription="Utwórz nowy dokument." ma:contentTypeScope="" ma:versionID="1afd44bfe070e428da9d897acd806f70">
  <xsd:schema xmlns:xsd="http://www.w3.org/2001/XMLSchema" xmlns:xs="http://www.w3.org/2001/XMLSchema" xmlns:p="http://schemas.microsoft.com/office/2006/metadata/properties" xmlns:ns3="4628fd8d-bcf2-4bab-a41d-8c4f189e6877" xmlns:ns4="46f44cfc-78f6-4d59-a1d7-7bc9a0fa49c3" targetNamespace="http://schemas.microsoft.com/office/2006/metadata/properties" ma:root="true" ma:fieldsID="328525aacde8a978f8be204c5eaeafb0" ns3:_="" ns4:_="">
    <xsd:import namespace="4628fd8d-bcf2-4bab-a41d-8c4f189e6877"/>
    <xsd:import namespace="46f44cfc-78f6-4d59-a1d7-7bc9a0fa49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8fd8d-bcf2-4bab-a41d-8c4f189e6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44cfc-78f6-4d59-a1d7-7bc9a0fa49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8fd8d-bcf2-4bab-a41d-8c4f189e687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633B2-5950-46AD-AF3A-71FACCFE2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8fd8d-bcf2-4bab-a41d-8c4f189e6877"/>
    <ds:schemaRef ds:uri="46f44cfc-78f6-4d59-a1d7-7bc9a0fa49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8E188-EE70-4598-B1AE-109BEC9E5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2124A-4770-40CE-A2DF-2CB63C08BFD4}">
  <ds:schemaRefs>
    <ds:schemaRef ds:uri="http://schemas.microsoft.com/office/2006/metadata/properties"/>
    <ds:schemaRef ds:uri="http://schemas.microsoft.com/office/infopath/2007/PartnerControls"/>
    <ds:schemaRef ds:uri="4628fd8d-bcf2-4bab-a41d-8c4f189e6877"/>
  </ds:schemaRefs>
</ds:datastoreItem>
</file>

<file path=customXml/itemProps4.xml><?xml version="1.0" encoding="utf-8"?>
<ds:datastoreItem xmlns:ds="http://schemas.openxmlformats.org/officeDocument/2006/customXml" ds:itemID="{BBA6F014-0D93-4E0B-81B2-64A57E0A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2268</Words>
  <Characters>13610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4</cp:revision>
  <dcterms:created xsi:type="dcterms:W3CDTF">2025-09-12T10:03:00Z</dcterms:created>
  <dcterms:modified xsi:type="dcterms:W3CDTF">2025-09-12T13:08:00Z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0x0101006B0934BE7FCACC428F46B88B00F70F50</vt:lpwstr>
  </property>
</Properties>
</file>